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B7" w:rsidRPr="009B378B" w:rsidRDefault="006F1ADC" w:rsidP="009B378B">
      <w:pPr>
        <w:jc w:val="center"/>
        <w:rPr>
          <w:color w:val="FF0000"/>
        </w:rPr>
      </w:pPr>
      <w:r>
        <w:rPr>
          <w:color w:val="FF0000"/>
        </w:rPr>
        <w:t xml:space="preserve"> </w:t>
      </w:r>
      <w:r w:rsidR="00180D90">
        <w:rPr>
          <w:color w:val="FF0000"/>
        </w:rPr>
        <w:t xml:space="preserve">[To </w:t>
      </w:r>
      <w:proofErr w:type="gramStart"/>
      <w:r w:rsidR="00180D90">
        <w:rPr>
          <w:color w:val="FF0000"/>
        </w:rPr>
        <w:t xml:space="preserve">Be </w:t>
      </w:r>
      <w:r w:rsidR="00F443B7" w:rsidRPr="009B378B">
        <w:rPr>
          <w:color w:val="FF0000"/>
        </w:rPr>
        <w:t>Used</w:t>
      </w:r>
      <w:proofErr w:type="gramEnd"/>
      <w:r w:rsidR="00F443B7" w:rsidRPr="009B378B">
        <w:rPr>
          <w:color w:val="FF0000"/>
        </w:rPr>
        <w:t xml:space="preserve"> in Conjun</w:t>
      </w:r>
      <w:r w:rsidR="00180D90">
        <w:rPr>
          <w:color w:val="FF0000"/>
        </w:rPr>
        <w:t>c</w:t>
      </w:r>
      <w:r w:rsidR="00F443B7" w:rsidRPr="009B378B">
        <w:rPr>
          <w:color w:val="FF0000"/>
        </w:rPr>
        <w:t xml:space="preserve">tion </w:t>
      </w:r>
      <w:r w:rsidR="00180D90">
        <w:rPr>
          <w:color w:val="FF0000"/>
        </w:rPr>
        <w:t>w</w:t>
      </w:r>
      <w:r w:rsidR="00F443B7" w:rsidRPr="009B378B">
        <w:rPr>
          <w:color w:val="FF0000"/>
        </w:rPr>
        <w:t>ith Sample Letter</w:t>
      </w:r>
      <w:r w:rsidR="002A202C">
        <w:rPr>
          <w:color w:val="FF0000"/>
        </w:rPr>
        <w:t>s</w:t>
      </w:r>
      <w:r w:rsidR="00F443B7" w:rsidRPr="009B378B">
        <w:rPr>
          <w:color w:val="FF0000"/>
        </w:rPr>
        <w:t xml:space="preserve"> to Client with Potential Malpractice</w:t>
      </w:r>
    </w:p>
    <w:p w:rsidR="003C0E88" w:rsidRPr="009B378B" w:rsidRDefault="00F443B7" w:rsidP="009B378B">
      <w:pPr>
        <w:jc w:val="center"/>
        <w:rPr>
          <w:color w:val="FF0000"/>
        </w:rPr>
      </w:pPr>
      <w:r w:rsidRPr="009B378B">
        <w:rPr>
          <w:color w:val="FF0000"/>
        </w:rPr>
        <w:t>Claim Against Attorney]</w:t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621"/>
        <w:gridCol w:w="177"/>
        <w:gridCol w:w="8949"/>
        <w:gridCol w:w="788"/>
        <w:gridCol w:w="620"/>
      </w:tblGrid>
      <w:tr w:rsidR="00F37FB3" w:rsidRPr="00F37FB3" w:rsidTr="00A725C8">
        <w:trPr>
          <w:trHeight w:val="70"/>
          <w:jc w:val="center"/>
        </w:trPr>
        <w:tc>
          <w:tcPr>
            <w:tcW w:w="6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37FB3" w:rsidRPr="003F1701" w:rsidRDefault="00F37FB3" w:rsidP="00A725C8">
            <w:pPr>
              <w:ind w:left="720"/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788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37FB3" w:rsidRPr="00934DF6" w:rsidRDefault="00934DF6" w:rsidP="00A725C8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" w:type="dxa"/>
            <w:tcBorders>
              <w:bottom w:val="single" w:sz="2" w:space="0" w:color="auto"/>
            </w:tcBorders>
            <w:vAlign w:val="center"/>
          </w:tcPr>
          <w:p w:rsidR="00F37FB3" w:rsidRPr="00934DF6" w:rsidRDefault="00934DF6" w:rsidP="00A725C8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4DF6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DF6" w:rsidRPr="003F1701" w:rsidRDefault="00934DF6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DF6" w:rsidRPr="00934DF6" w:rsidRDefault="00934DF6" w:rsidP="009B378B">
            <w:pPr>
              <w:spacing w:before="60" w:after="120"/>
            </w:pPr>
            <w:r w:rsidRPr="00934DF6">
              <w:t xml:space="preserve">Has lawyer taken an action, or failed to take an action, that could have an adverse impact on the matter? In other words, has the lawyer committed potential legal </w:t>
            </w:r>
            <w:proofErr w:type="gramStart"/>
            <w:r w:rsidRPr="00934DF6">
              <w:t>malpractice</w:t>
            </w:r>
            <w:r w:rsidR="00F443B7">
              <w:t>.</w:t>
            </w:r>
            <w:proofErr w:type="gramEnd"/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DF6" w:rsidRPr="00934DF6" w:rsidRDefault="00934DF6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DF6" w:rsidRPr="00934DF6" w:rsidRDefault="00934DF6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>
            <w:pPr>
              <w:spacing w:before="60" w:after="120"/>
            </w:pPr>
            <w:r w:rsidRPr="00934DF6">
              <w:t>Contact the Professional Liability Fund (or other professional liability insurance carrier) and speak to a Claims Attorney regarding the matter.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>
            <w:pPr>
              <w:spacing w:before="60" w:after="120"/>
            </w:pPr>
            <w:r w:rsidRPr="00934DF6">
              <w:t>Consider whether to: a) consult with in-house counsel or risk management partner at your firm; b) retain outside ethics counsel; or c) contact OSB General Counsel for guidance.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5E09A3">
            <w:pPr>
              <w:spacing w:before="60" w:after="120"/>
            </w:pPr>
            <w:r w:rsidRPr="00934DF6">
              <w:t>Does a personal conflict of interest exist under Oregon RPC 1.7(a</w:t>
            </w:r>
            <w:proofErr w:type="gramStart"/>
            <w:r w:rsidRPr="00934DF6">
              <w:t>)(</w:t>
            </w:r>
            <w:proofErr w:type="gramEnd"/>
            <w:r w:rsidRPr="00934DF6">
              <w:t xml:space="preserve">2)? Is there a significant risk that the lawyer’s representation of one or more clients </w:t>
            </w:r>
            <w:proofErr w:type="gramStart"/>
            <w:r w:rsidRPr="00934DF6">
              <w:t>will be materially limited</w:t>
            </w:r>
            <w:proofErr w:type="gramEnd"/>
            <w:r w:rsidRPr="00934DF6">
              <w:t xml:space="preserve"> by the lawyer’s personal interest in the matter due to the alleged conduct? </w:t>
            </w:r>
            <w:r w:rsidRPr="00934DF6">
              <w:rPr>
                <w:i/>
              </w:rPr>
              <w:t>See, e.g.</w:t>
            </w:r>
            <w:r w:rsidRPr="00934DF6">
              <w:t>, OSB Formal Ethics Op</w:t>
            </w:r>
            <w:r w:rsidR="005E09A3">
              <w:t>inion</w:t>
            </w:r>
            <w:r w:rsidRPr="00934DF6">
              <w:t xml:space="preserve"> No. 2009-182</w:t>
            </w:r>
            <w:proofErr w:type="gramStart"/>
            <w:r w:rsidRPr="00934DF6">
              <w:t>;</w:t>
            </w:r>
            <w:proofErr w:type="gramEnd"/>
            <w:r w:rsidRPr="00934DF6">
              <w:t xml:space="preserve"> </w:t>
            </w:r>
            <w:r w:rsidRPr="005E09A3">
              <w:t>The Ethical Oregon Lawyer</w:t>
            </w:r>
            <w:r w:rsidRPr="00934DF6">
              <w:t xml:space="preserve"> § 9.2 (OSB Legal Pubs 2015)</w:t>
            </w:r>
            <w:r w:rsidR="00F443B7">
              <w:t xml:space="preserve"> (Economic and Personal Conflicts)</w:t>
            </w:r>
            <w:r w:rsidRPr="00934DF6">
              <w:t>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232B73">
            <w:pPr>
              <w:spacing w:before="60" w:after="120"/>
            </w:pPr>
            <w:r w:rsidRPr="00934DF6">
              <w:t xml:space="preserve">If the answer to 4 is yes, does the lawyer reasonably believe that </w:t>
            </w:r>
            <w:r w:rsidR="00232B73">
              <w:t>the lawyer</w:t>
            </w:r>
            <w:r w:rsidRPr="00934DF6">
              <w:t xml:space="preserve"> will be able to provide competent and diligent representation to each affected client?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9B378B">
            <w:pPr>
              <w:spacing w:before="60" w:after="120"/>
            </w:pPr>
            <w:r w:rsidRPr="00934DF6">
              <w:t xml:space="preserve">If the answer to 5 is no, prepare a complete copy of client file for production to client, take appropriate measures to withdraw, send a disengagement letter, and provide an accounting to the client of any funds in trust (and return any unearned fees). </w:t>
            </w:r>
            <w:r w:rsidRPr="00934DF6">
              <w:rPr>
                <w:i/>
              </w:rPr>
              <w:t>See also</w:t>
            </w:r>
            <w:r w:rsidRPr="00934DF6">
              <w:t>, “Production of Client File or Documents” practice aid</w:t>
            </w:r>
            <w:r w:rsidR="00F443B7">
              <w:t>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9B378B">
            <w:pPr>
              <w:spacing w:before="60" w:after="120"/>
            </w:pPr>
            <w:r w:rsidRPr="00934DF6">
              <w:t xml:space="preserve">Consider carefully whether facts or circumstances </w:t>
            </w:r>
            <w:r w:rsidR="00DB0A1F" w:rsidRPr="00934DF6">
              <w:t>exist,</w:t>
            </w:r>
            <w:r w:rsidRPr="00934DF6">
              <w:t xml:space="preserve"> that would make it preferable for the client to obtain new counsel</w:t>
            </w:r>
            <w:r w:rsidR="00162C7A">
              <w:t>,</w:t>
            </w:r>
            <w:r w:rsidRPr="00934DF6">
              <w:t xml:space="preserve"> even if the conflict arguably </w:t>
            </w:r>
            <w:proofErr w:type="gramStart"/>
            <w:r w:rsidR="00F443B7">
              <w:t>can</w:t>
            </w:r>
            <w:r w:rsidR="00F443B7" w:rsidRPr="00934DF6">
              <w:t xml:space="preserve"> </w:t>
            </w:r>
            <w:r w:rsidRPr="00934DF6">
              <w:t>be waived</w:t>
            </w:r>
            <w:proofErr w:type="gramEnd"/>
            <w:r w:rsidRPr="00934DF6">
              <w:t>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F271AF">
            <w:pPr>
              <w:spacing w:before="60" w:after="120"/>
            </w:pPr>
            <w:r w:rsidRPr="00934DF6">
              <w:t>If the answers to 4 and 5 are yes</w:t>
            </w:r>
            <w:r w:rsidR="0004251B">
              <w:t>,</w:t>
            </w:r>
            <w:r w:rsidRPr="00934DF6">
              <w:t xml:space="preserve"> and 7 </w:t>
            </w:r>
            <w:proofErr w:type="gramStart"/>
            <w:r w:rsidRPr="00934DF6">
              <w:t>has been analyzed</w:t>
            </w:r>
            <w:proofErr w:type="gramEnd"/>
            <w:r w:rsidRPr="00934DF6">
              <w:t xml:space="preserve">, lawyer should contact client to discuss conflict and determine if client will provide informed consent to continue the representation. Lawyer may want to prepare a draft letter to client before meeting or </w:t>
            </w:r>
            <w:r w:rsidR="004D583A">
              <w:t xml:space="preserve">phone </w:t>
            </w:r>
            <w:r w:rsidRPr="00934DF6">
              <w:t xml:space="preserve">call to frame discussion. </w:t>
            </w:r>
            <w:r w:rsidR="00F271AF">
              <w:rPr>
                <w:i/>
              </w:rPr>
              <w:t>See</w:t>
            </w:r>
            <w:r w:rsidRPr="00934DF6">
              <w:t xml:space="preserve">, </w:t>
            </w:r>
            <w:r w:rsidR="004D583A">
              <w:t>“</w:t>
            </w:r>
            <w:r w:rsidR="00BF386A">
              <w:t xml:space="preserve">Sample Letter to Client with Potential </w:t>
            </w:r>
            <w:r w:rsidR="0005469A">
              <w:t xml:space="preserve">Malpractice </w:t>
            </w:r>
            <w:r w:rsidR="00BF386A">
              <w:t>Claim Against Attorney</w:t>
            </w:r>
            <w:r w:rsidR="004D583A">
              <w:t>” practice aid</w:t>
            </w:r>
            <w:r w:rsidRPr="00934DF6">
              <w:t>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7F0B5D" w:rsidP="00F271AF">
            <w:pPr>
              <w:spacing w:before="60" w:after="120"/>
            </w:pPr>
            <w:r>
              <w:t>After client c</w:t>
            </w:r>
            <w:r w:rsidR="00BF386A">
              <w:t>all</w:t>
            </w:r>
            <w:r w:rsidR="00F37FB3" w:rsidRPr="00934DF6">
              <w:t xml:space="preserve">, revise </w:t>
            </w:r>
            <w:r w:rsidR="00BF386A">
              <w:t xml:space="preserve">“Sample Letter to Client with Potential Malpractice Claim Against Attorney” </w:t>
            </w:r>
            <w:r w:rsidR="00F37FB3" w:rsidRPr="00934DF6">
              <w:t>and provide to PLF (or other carrier) Claims Attorney (or your own ethics counsel) for review and comments.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  <w:tr w:rsidR="00F37FB3" w:rsidRPr="00F37FB3" w:rsidTr="00A725C8">
        <w:trPr>
          <w:jc w:val="center"/>
        </w:trPr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3F1701" w:rsidRDefault="00F37FB3" w:rsidP="00A725C8">
            <w:pPr>
              <w:numPr>
                <w:ilvl w:val="0"/>
                <w:numId w:val="1"/>
              </w:numPr>
            </w:pPr>
          </w:p>
        </w:tc>
        <w:tc>
          <w:tcPr>
            <w:tcW w:w="8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>
            <w:pPr>
              <w:spacing w:before="60" w:after="120"/>
            </w:pPr>
            <w:r w:rsidRPr="00934DF6">
              <w:t>Retain signed copy of informed consent letter for lawyer’s records.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FB3" w:rsidRPr="00934DF6" w:rsidRDefault="00F37FB3" w:rsidP="00A725C8"/>
        </w:tc>
      </w:tr>
    </w:tbl>
    <w:p w:rsidR="00F71E9D" w:rsidRDefault="00F71E9D" w:rsidP="003F2345"/>
    <w:p w:rsidR="006F1ADC" w:rsidRDefault="006F1ADC" w:rsidP="003F2345">
      <w:pPr>
        <w:jc w:val="center"/>
        <w:rPr>
          <w:b/>
        </w:rPr>
      </w:pPr>
    </w:p>
    <w:p w:rsidR="00F71E9D" w:rsidRPr="006F1ADC" w:rsidRDefault="00F71E9D" w:rsidP="003F2345">
      <w:pPr>
        <w:jc w:val="center"/>
        <w:rPr>
          <w:b/>
        </w:rPr>
      </w:pPr>
      <w:r w:rsidRPr="006F1ADC">
        <w:rPr>
          <w:b/>
        </w:rPr>
        <w:t>IMPORTANT NOTICES</w:t>
      </w:r>
    </w:p>
    <w:p w:rsidR="00F71E9D" w:rsidRPr="004B62DE" w:rsidRDefault="00F71E9D" w:rsidP="003F2345">
      <w:pPr>
        <w:jc w:val="center"/>
      </w:pPr>
    </w:p>
    <w:p w:rsidR="00F71E9D" w:rsidRPr="00B07600" w:rsidRDefault="00F71E9D" w:rsidP="00780042">
      <w:r w:rsidRPr="004B62DE">
        <w:t xml:space="preserve">This material </w:t>
      </w:r>
      <w:proofErr w:type="gramStart"/>
      <w:r w:rsidRPr="004B62DE">
        <w:t>is provided</w:t>
      </w:r>
      <w:proofErr w:type="gramEnd"/>
      <w:r w:rsidRPr="004B62DE">
        <w:t xml:space="preserve"> for informational purposes only and does not establish, report, or create the standard of care for attorneys in Oregon, nor does it represent a complete analysis of the topics presented. Readers should conduct their own appropriate legal research. The information presented does not represent legal advice. This information may not be </w:t>
      </w:r>
      <w:r>
        <w:t>r</w:t>
      </w:r>
      <w:r w:rsidRPr="004B62DE">
        <w:t>epublished, sold, or used in any other form without the written consent of the Oregon State Bar Professional Liability Fund</w:t>
      </w:r>
      <w:r>
        <w:t>,</w:t>
      </w:r>
      <w:r w:rsidRPr="004B62DE">
        <w:t xml:space="preserve"> except that permission </w:t>
      </w:r>
      <w:proofErr w:type="gramStart"/>
      <w:r w:rsidRPr="004B62DE">
        <w:t>is granted</w:t>
      </w:r>
      <w:proofErr w:type="gramEnd"/>
      <w:r w:rsidRPr="004B62DE">
        <w:t xml:space="preserve"> for Oregon lawyers to use and modify these materials for use in their own practices. </w:t>
      </w:r>
      <w:r w:rsidR="00BF386A">
        <w:t xml:space="preserve">© 2019 OSB Professional Liability Fund. </w:t>
      </w:r>
    </w:p>
    <w:sectPr w:rsidR="00F71E9D" w:rsidRPr="00B07600" w:rsidSect="009D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9D" w:rsidRDefault="00F71E9D" w:rsidP="00F71E9D">
      <w:r>
        <w:separator/>
      </w:r>
    </w:p>
  </w:endnote>
  <w:endnote w:type="continuationSeparator" w:id="0">
    <w:p w:rsidR="00F71E9D" w:rsidRDefault="00F71E9D" w:rsidP="00F7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2C" w:rsidRDefault="002A2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79" w:rsidRDefault="00C12979">
    <w:pPr>
      <w:pStyle w:val="Footer"/>
    </w:pPr>
    <w:r w:rsidRPr="00423BFC">
      <w:t>PROFESSIONAL LIABILITY FUND [Rev.</w:t>
    </w:r>
    <w:r w:rsidR="00BF386A">
      <w:t>12</w:t>
    </w:r>
    <w:r w:rsidRPr="00423BFC">
      <w:t>/201</w:t>
    </w:r>
    <w:r w:rsidR="00922F02">
      <w:t>9</w:t>
    </w:r>
    <w:r w:rsidRPr="00423BFC">
      <w:t>]</w:t>
    </w:r>
    <w:r w:rsidRPr="00423BFC">
      <w:tab/>
    </w:r>
    <w:r w:rsidR="00C860FC">
      <w:t xml:space="preserve">Checklist - </w:t>
    </w:r>
    <w:r w:rsidR="00671754">
      <w:t>Potential Malpractice</w:t>
    </w:r>
    <w:r w:rsidR="00671754" w:rsidRPr="00423BFC">
      <w:t xml:space="preserve"> </w:t>
    </w:r>
    <w:r w:rsidR="00671754">
      <w:t>Claim</w:t>
    </w:r>
    <w:r w:rsidRPr="00423BFC">
      <w:t xml:space="preserve">– Page </w:t>
    </w:r>
    <w:r w:rsidRPr="00423BFC">
      <w:fldChar w:fldCharType="begin"/>
    </w:r>
    <w:r w:rsidRPr="00423BFC">
      <w:instrText xml:space="preserve"> PAGE   \* MERGEFORMAT </w:instrText>
    </w:r>
    <w:r w:rsidRPr="00423BFC">
      <w:fldChar w:fldCharType="separate"/>
    </w:r>
    <w:r w:rsidR="002A202C">
      <w:rPr>
        <w:noProof/>
      </w:rPr>
      <w:t>1</w:t>
    </w:r>
    <w:r w:rsidRPr="00423BF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2C" w:rsidRDefault="002A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9D" w:rsidRDefault="00F71E9D" w:rsidP="00F71E9D">
      <w:r>
        <w:separator/>
      </w:r>
    </w:p>
  </w:footnote>
  <w:footnote w:type="continuationSeparator" w:id="0">
    <w:p w:rsidR="00F71E9D" w:rsidRDefault="00F71E9D" w:rsidP="00F7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2C" w:rsidRDefault="002A2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DC" w:rsidRPr="006F1ADC" w:rsidRDefault="006F1ADC" w:rsidP="006F1ADC">
    <w:pPr>
      <w:pStyle w:val="Heading1"/>
    </w:pPr>
    <w:bookmarkStart w:id="0" w:name="_GoBack"/>
    <w:bookmarkEnd w:id="0"/>
    <w:r w:rsidRPr="006F1ADC">
      <w:t>Checklist – Potential Malpractice Claim Against Attorney</w:t>
    </w:r>
  </w:p>
  <w:p w:rsidR="009B378B" w:rsidRDefault="009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2C" w:rsidRDefault="002A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DF6"/>
    <w:multiLevelType w:val="hybridMultilevel"/>
    <w:tmpl w:val="798A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D96"/>
    <w:multiLevelType w:val="hybridMultilevel"/>
    <w:tmpl w:val="7FA4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00"/>
    <w:rsid w:val="0004251B"/>
    <w:rsid w:val="0005469A"/>
    <w:rsid w:val="0006096E"/>
    <w:rsid w:val="00162C7A"/>
    <w:rsid w:val="00180D90"/>
    <w:rsid w:val="001C56E3"/>
    <w:rsid w:val="00232B73"/>
    <w:rsid w:val="002631C0"/>
    <w:rsid w:val="00281828"/>
    <w:rsid w:val="0029760A"/>
    <w:rsid w:val="002A202C"/>
    <w:rsid w:val="002D04C7"/>
    <w:rsid w:val="0038741A"/>
    <w:rsid w:val="003908C7"/>
    <w:rsid w:val="003C0E88"/>
    <w:rsid w:val="003F1701"/>
    <w:rsid w:val="003F2345"/>
    <w:rsid w:val="00455475"/>
    <w:rsid w:val="004D583A"/>
    <w:rsid w:val="00586BA2"/>
    <w:rsid w:val="005E09A3"/>
    <w:rsid w:val="006063B8"/>
    <w:rsid w:val="006504F1"/>
    <w:rsid w:val="00671754"/>
    <w:rsid w:val="006F1ADC"/>
    <w:rsid w:val="00780042"/>
    <w:rsid w:val="007F0B5D"/>
    <w:rsid w:val="00823317"/>
    <w:rsid w:val="00851577"/>
    <w:rsid w:val="0088461F"/>
    <w:rsid w:val="008F7420"/>
    <w:rsid w:val="00922F02"/>
    <w:rsid w:val="00934DF6"/>
    <w:rsid w:val="00946ACB"/>
    <w:rsid w:val="009B378B"/>
    <w:rsid w:val="009D115A"/>
    <w:rsid w:val="009D2F2F"/>
    <w:rsid w:val="00A725C8"/>
    <w:rsid w:val="00AD3BD8"/>
    <w:rsid w:val="00B07600"/>
    <w:rsid w:val="00B1092B"/>
    <w:rsid w:val="00BF386A"/>
    <w:rsid w:val="00C12979"/>
    <w:rsid w:val="00C43846"/>
    <w:rsid w:val="00C860FC"/>
    <w:rsid w:val="00CF6F9B"/>
    <w:rsid w:val="00DB0A1F"/>
    <w:rsid w:val="00DC151E"/>
    <w:rsid w:val="00E11618"/>
    <w:rsid w:val="00EB640D"/>
    <w:rsid w:val="00F07618"/>
    <w:rsid w:val="00F271AF"/>
    <w:rsid w:val="00F37FB3"/>
    <w:rsid w:val="00F443B7"/>
    <w:rsid w:val="00F71E9D"/>
    <w:rsid w:val="00F736F3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8C0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42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903"/>
    <w:pPr>
      <w:keepNext/>
      <w:spacing w:after="240"/>
      <w:jc w:val="center"/>
      <w:outlineLvl w:val="0"/>
    </w:pPr>
    <w:rPr>
      <w:rFonts w:eastAsiaTheme="majorEastAsia" w:cstheme="majorBidi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903"/>
    <w:pPr>
      <w:keepNext/>
      <w:spacing w:before="24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92B"/>
    <w:pPr>
      <w:keepNext/>
      <w:keepLines/>
      <w:spacing w:before="40"/>
      <w:outlineLvl w:val="2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56E3"/>
    <w:rPr>
      <w:rFonts w:ascii="Calibri" w:eastAsiaTheme="majorEastAsia" w:hAnsi="Calibri" w:cstheme="majorBidi"/>
    </w:rPr>
  </w:style>
  <w:style w:type="paragraph" w:styleId="EnvelopeAddress">
    <w:name w:val="envelope address"/>
    <w:basedOn w:val="Normal"/>
    <w:uiPriority w:val="99"/>
    <w:semiHidden/>
    <w:unhideWhenUsed/>
    <w:rsid w:val="008F742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92B"/>
    <w:rPr>
      <w:rFonts w:ascii="Arial" w:eastAsiaTheme="majorEastAsia" w:hAnsi="Arial" w:cstheme="majorBidi"/>
      <w:sz w:val="22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06096E"/>
    <w:pP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096E"/>
    <w:rPr>
      <w:rFonts w:ascii="Arial" w:eastAsia="Times New Roman" w:hAnsi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2903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903"/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F71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9D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39"/>
    <w:rsid w:val="00F37FB3"/>
    <w:rPr>
      <w:rFonts w:ascii="Garamond" w:hAnsi="Garamond" w:cs="Tahoma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2017-08-22T00:35:00Z</dcterms:created>
  <dcterms:modified xsi:type="dcterms:W3CDTF">2019-12-18T18:59:00Z</dcterms:modified>
</cp:coreProperties>
</file>